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71" w:rsidRDefault="00EB4471" w:rsidP="00EB4471">
      <w:pPr>
        <w:keepNext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4471" w:rsidRPr="00EB4471" w:rsidRDefault="00EB4471" w:rsidP="00EB4471">
      <w:pPr>
        <w:keepNext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220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20E">
        <w:rPr>
          <w:rFonts w:ascii="Times New Roman" w:hAnsi="Times New Roman" w:cs="Times New Roman"/>
          <w:sz w:val="28"/>
          <w:szCs w:val="28"/>
        </w:rPr>
        <w:t xml:space="preserve"> - </w:t>
      </w:r>
      <w:r w:rsidR="00D3243A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116370" w:rsidRPr="0069795C">
        <w:rPr>
          <w:rFonts w:ascii="Times New Roman" w:eastAsia="Calibri" w:hAnsi="Times New Roman" w:cs="Times New Roman"/>
          <w:sz w:val="28"/>
          <w:szCs w:val="28"/>
        </w:rPr>
        <w:t>Факторы и их уровни</w:t>
      </w:r>
    </w:p>
    <w:p w:rsidR="00116370" w:rsidRPr="00D3243A" w:rsidRDefault="00EB4471" w:rsidP="00116370">
      <w:pPr>
        <w:keepNext/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F1211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D324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243A" w:rsidRPr="00D3243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D324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243A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D3243A" w:rsidRPr="00D3243A">
        <w:rPr>
          <w:rFonts w:ascii="Times New Roman" w:hAnsi="Times New Roman" w:cs="Times New Roman"/>
          <w:sz w:val="28"/>
          <w:szCs w:val="28"/>
          <w:lang w:val="en-US"/>
        </w:rPr>
        <w:t>Factors and their levels</w:t>
      </w:r>
    </w:p>
    <w:p w:rsidR="00116370" w:rsidRPr="00D3243A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08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15"/>
        <w:gridCol w:w="805"/>
        <w:gridCol w:w="851"/>
        <w:gridCol w:w="983"/>
        <w:gridCol w:w="1011"/>
        <w:gridCol w:w="950"/>
      </w:tblGrid>
      <w:tr w:rsidR="00116370" w:rsidRPr="0069795C" w:rsidTr="00593A60">
        <w:trPr>
          <w:trHeight w:val="265"/>
        </w:trPr>
        <w:tc>
          <w:tcPr>
            <w:tcW w:w="4482" w:type="dxa"/>
            <w:gridSpan w:val="2"/>
            <w:vMerge w:val="restart"/>
            <w:vAlign w:val="center"/>
          </w:tcPr>
          <w:p w:rsidR="00116370" w:rsidRPr="0069795C" w:rsidRDefault="00116370" w:rsidP="00116370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43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Факторы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Уровни факторов</w:t>
            </w:r>
          </w:p>
        </w:tc>
      </w:tr>
      <w:tr w:rsidR="00116370" w:rsidRPr="0069795C" w:rsidTr="00593A60">
        <w:trPr>
          <w:trHeight w:val="367"/>
        </w:trPr>
        <w:tc>
          <w:tcPr>
            <w:tcW w:w="4482" w:type="dxa"/>
            <w:gridSpan w:val="2"/>
            <w:vMerge/>
            <w:vAlign w:val="center"/>
          </w:tcPr>
          <w:p w:rsidR="00116370" w:rsidRPr="0069795C" w:rsidRDefault="00116370" w:rsidP="001163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16370" w:rsidRPr="0069795C" w:rsidTr="00593A60">
        <w:tc>
          <w:tcPr>
            <w:tcW w:w="567" w:type="dxa"/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</w:pP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915" w:type="dxa"/>
            <w:vAlign w:val="center"/>
          </w:tcPr>
          <w:p w:rsidR="00116370" w:rsidRPr="0069795C" w:rsidRDefault="00116370" w:rsidP="001163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Температура, </w:t>
            </w:r>
            <w:proofErr w:type="gramStart"/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805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1823</w:t>
            </w:r>
          </w:p>
        </w:tc>
        <w:tc>
          <w:tcPr>
            <w:tcW w:w="851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983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011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950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</w:tr>
      <w:tr w:rsidR="00116370" w:rsidRPr="0069795C" w:rsidTr="00593A60">
        <w:tc>
          <w:tcPr>
            <w:tcW w:w="567" w:type="dxa"/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915" w:type="dxa"/>
            <w:vAlign w:val="center"/>
          </w:tcPr>
          <w:p w:rsidR="00116370" w:rsidRPr="00D3243A" w:rsidRDefault="00116370" w:rsidP="001163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Расход В</w:t>
            </w:r>
            <w:r w:rsidRPr="0069795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9795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="001F0C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324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гр</w:t>
            </w:r>
          </w:p>
        </w:tc>
        <w:tc>
          <w:tcPr>
            <w:tcW w:w="805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83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11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0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116370" w:rsidRPr="0069795C" w:rsidTr="00593A60">
        <w:tc>
          <w:tcPr>
            <w:tcW w:w="567" w:type="dxa"/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915" w:type="dxa"/>
            <w:vAlign w:val="center"/>
          </w:tcPr>
          <w:p w:rsidR="00116370" w:rsidRPr="006F1533" w:rsidRDefault="00116370" w:rsidP="001163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 кокса </w:t>
            </w:r>
            <w:r w:rsidRPr="006979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6979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proofErr w:type="gramStart"/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05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83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11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0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116370" w:rsidRPr="0069795C" w:rsidTr="00593A60">
        <w:tc>
          <w:tcPr>
            <w:tcW w:w="567" w:type="dxa"/>
            <w:vAlign w:val="center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915" w:type="dxa"/>
            <w:vAlign w:val="center"/>
          </w:tcPr>
          <w:p w:rsidR="00116370" w:rsidRPr="006F1533" w:rsidRDefault="001F0C9C" w:rsidP="001163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05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1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116370" w:rsidRPr="0069795C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1F0C9C" w:rsidRPr="0069795C" w:rsidTr="00593A60">
        <w:tc>
          <w:tcPr>
            <w:tcW w:w="567" w:type="dxa"/>
            <w:vAlign w:val="center"/>
          </w:tcPr>
          <w:p w:rsidR="001F0C9C" w:rsidRPr="0069795C" w:rsidRDefault="001F0C9C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915" w:type="dxa"/>
            <w:vAlign w:val="center"/>
          </w:tcPr>
          <w:p w:rsidR="001F0C9C" w:rsidRPr="006F1533" w:rsidRDefault="00B42E7E" w:rsidP="001163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proofErr w:type="spellStart"/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Start"/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05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1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1F0C9C" w:rsidRPr="0069795C" w:rsidTr="00593A60">
        <w:tc>
          <w:tcPr>
            <w:tcW w:w="567" w:type="dxa"/>
            <w:vAlign w:val="center"/>
          </w:tcPr>
          <w:p w:rsidR="001F0C9C" w:rsidRPr="0069795C" w:rsidRDefault="001F0C9C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9795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915" w:type="dxa"/>
            <w:vAlign w:val="center"/>
          </w:tcPr>
          <w:p w:rsidR="001F0C9C" w:rsidRPr="006F1533" w:rsidRDefault="00B42E7E" w:rsidP="001163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Al</w:t>
            </w:r>
            <w:r w:rsidRPr="00B42E7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1F0C9C"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42E7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1F0C9C"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="006F1533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805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1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:rsidR="001F0C9C" w:rsidRPr="0069795C" w:rsidRDefault="001F0C9C" w:rsidP="0018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95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Pr="0069795C" w:rsidRDefault="00116370" w:rsidP="001163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70" w:rsidRDefault="00116370" w:rsidP="00D3243A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9795C">
        <w:rPr>
          <w:rFonts w:ascii="Times New Roman" w:eastAsia="Calibri" w:hAnsi="Times New Roman" w:cs="Times New Roman"/>
          <w:noProof/>
          <w:sz w:val="28"/>
          <w:szCs w:val="28"/>
        </w:rPr>
        <w:t xml:space="preserve">Таблица 2 – Состав металла и коэффициент извлечения бора 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*</w:t>
      </w:r>
    </w:p>
    <w:p w:rsidR="00D3243A" w:rsidRPr="00D3243A" w:rsidRDefault="00D3243A" w:rsidP="00D3243A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FF1211">
        <w:rPr>
          <w:rFonts w:ascii="Times New Roman" w:hAnsi="Times New Roman" w:cs="Times New Roman"/>
          <w:sz w:val="28"/>
          <w:szCs w:val="28"/>
          <w:lang w:val="en-US"/>
        </w:rPr>
        <w:t>Table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Pr="00D3243A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D3243A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The composition of the metal and the recovery factor of boron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51"/>
        <w:gridCol w:w="1134"/>
        <w:gridCol w:w="1417"/>
        <w:gridCol w:w="1418"/>
        <w:gridCol w:w="1843"/>
      </w:tblGrid>
      <w:tr w:rsidR="00116370" w:rsidRPr="0069795C" w:rsidTr="00165904">
        <w:trPr>
          <w:trHeight w:val="301"/>
        </w:trPr>
        <w:tc>
          <w:tcPr>
            <w:tcW w:w="1242" w:type="dxa"/>
            <w:vMerge w:val="restart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№ опыта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</w:t>
            </w:r>
            <w:r w:rsidR="00B45161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держание элементов в металле, %</w:t>
            </w:r>
          </w:p>
        </w:tc>
        <w:tc>
          <w:tcPr>
            <w:tcW w:w="1843" w:type="dxa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</w:t>
            </w: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en-US"/>
              </w:rPr>
              <w:t>B</w:t>
            </w: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,%</w:t>
            </w:r>
          </w:p>
        </w:tc>
      </w:tr>
      <w:tr w:rsidR="00116370" w:rsidRPr="0069795C" w:rsidTr="00165904">
        <w:trPr>
          <w:trHeight w:val="70"/>
        </w:trPr>
        <w:tc>
          <w:tcPr>
            <w:tcW w:w="1242" w:type="dxa"/>
            <w:vMerge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1659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851" w:type="dxa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1659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</w:t>
            </w:r>
          </w:p>
        </w:tc>
        <w:tc>
          <w:tcPr>
            <w:tcW w:w="1134" w:type="dxa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1659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417" w:type="dxa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1659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Al</w:t>
            </w:r>
          </w:p>
        </w:tc>
        <w:tc>
          <w:tcPr>
            <w:tcW w:w="1843" w:type="dxa"/>
            <w:shd w:val="clear" w:color="auto" w:fill="auto"/>
          </w:tcPr>
          <w:p w:rsidR="00116370" w:rsidRPr="00165904" w:rsidRDefault="00116370" w:rsidP="00116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010C10" w:rsidRPr="0069795C" w:rsidTr="00165904">
        <w:trPr>
          <w:trHeight w:val="272"/>
        </w:trPr>
        <w:tc>
          <w:tcPr>
            <w:tcW w:w="1242" w:type="dxa"/>
            <w:shd w:val="clear" w:color="auto" w:fill="auto"/>
          </w:tcPr>
          <w:p w:rsidR="00010C10" w:rsidRPr="00165904" w:rsidRDefault="00010C10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83,30</w:t>
            </w:r>
          </w:p>
          <w:p w:rsidR="00010C10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90,74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0,78</w:t>
            </w:r>
          </w:p>
          <w:p w:rsidR="00010C10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0,30</w:t>
            </w:r>
          </w:p>
          <w:p w:rsidR="00010C10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15,51</w:t>
            </w:r>
          </w:p>
          <w:p w:rsidR="00010C10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5,94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0,11</w:t>
            </w:r>
          </w:p>
          <w:p w:rsidR="00010C10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0C10" w:rsidRPr="00E85B11" w:rsidRDefault="00010C10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88,34</w:t>
            </w:r>
          </w:p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37,89</w:t>
            </w:r>
          </w:p>
        </w:tc>
      </w:tr>
      <w:tr w:rsidR="00010C10" w:rsidRPr="0069795C" w:rsidTr="00165904">
        <w:trPr>
          <w:trHeight w:val="309"/>
        </w:trPr>
        <w:tc>
          <w:tcPr>
            <w:tcW w:w="1242" w:type="dxa"/>
            <w:shd w:val="clear" w:color="auto" w:fill="auto"/>
          </w:tcPr>
          <w:p w:rsidR="00010C10" w:rsidRPr="00165904" w:rsidRDefault="00010C10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82,47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88,96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1,31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0,41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15,68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7,83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0,13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0C10" w:rsidRPr="00E85B11" w:rsidRDefault="00010C10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76,92</w:t>
            </w:r>
          </w:p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42,01</w:t>
            </w:r>
          </w:p>
        </w:tc>
      </w:tr>
      <w:tr w:rsidR="00010C10" w:rsidRPr="0069795C" w:rsidTr="00165904">
        <w:trPr>
          <w:trHeight w:val="243"/>
        </w:trPr>
        <w:tc>
          <w:tcPr>
            <w:tcW w:w="1242" w:type="dxa"/>
            <w:shd w:val="clear" w:color="auto" w:fill="auto"/>
          </w:tcPr>
          <w:p w:rsidR="00010C10" w:rsidRPr="00165904" w:rsidRDefault="00010C10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80,27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89,85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1,27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3,05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15,26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7,16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10C10" w:rsidRPr="00165904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0,14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0C10" w:rsidRPr="00E85B11" w:rsidRDefault="00010C10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83,91</w:t>
            </w:r>
          </w:p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41,66</w:t>
            </w:r>
          </w:p>
        </w:tc>
      </w:tr>
      <w:tr w:rsidR="00010C10" w:rsidRPr="0069795C" w:rsidTr="00165904">
        <w:trPr>
          <w:trHeight w:val="243"/>
        </w:trPr>
        <w:tc>
          <w:tcPr>
            <w:tcW w:w="1242" w:type="dxa"/>
            <w:shd w:val="clear" w:color="auto" w:fill="auto"/>
          </w:tcPr>
          <w:p w:rsidR="00010C10" w:rsidRPr="00165904" w:rsidRDefault="00010C10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10C10" w:rsidRPr="009F26C3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80,04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87,88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10C10" w:rsidRPr="009F26C3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1,27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10C10" w:rsidRPr="009F26C3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3,36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10C10" w:rsidRPr="009F26C3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15,22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8,42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10C10" w:rsidRPr="009F26C3" w:rsidRDefault="00010C10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0,12</w:t>
            </w:r>
          </w:p>
          <w:p w:rsidR="00B34047" w:rsidRPr="00165904" w:rsidRDefault="00B34047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10C10" w:rsidRPr="00E85B11" w:rsidRDefault="00010C10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65,91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39,13</w:t>
            </w:r>
          </w:p>
        </w:tc>
      </w:tr>
      <w:tr w:rsidR="00E85B11" w:rsidRPr="0069795C" w:rsidTr="000E3F72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80,20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89,64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3,16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15,25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72,50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E85B11" w:rsidRPr="0069795C" w:rsidTr="006F0B12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79,75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87,85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3,14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15,74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7,95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95,86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51,59</w:t>
            </w:r>
          </w:p>
        </w:tc>
      </w:tr>
      <w:tr w:rsidR="00E85B11" w:rsidRPr="0069795C" w:rsidTr="00723FB0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81,50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87,14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2,03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15,08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8,62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74,85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47,21</w:t>
            </w:r>
          </w:p>
        </w:tc>
      </w:tr>
      <w:tr w:rsidR="00E85B11" w:rsidRPr="0069795C" w:rsidTr="00760E65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79,91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87,80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1,24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3,47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15,20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8,24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83,57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49,73</w:t>
            </w:r>
          </w:p>
        </w:tc>
      </w:tr>
      <w:tr w:rsidR="00E85B11" w:rsidRPr="0069795C" w:rsidTr="00BB75D9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79,88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86,58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0,84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2,93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16,24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9,70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70,45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45,27</w:t>
            </w:r>
          </w:p>
        </w:tc>
      </w:tr>
      <w:tr w:rsidR="00E85B11" w:rsidRPr="0069795C" w:rsidTr="00375717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82,38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84,54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0,56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2,71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16,63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10,74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73,32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54,82</w:t>
            </w:r>
          </w:p>
        </w:tc>
      </w:tr>
      <w:tr w:rsidR="00E85B11" w:rsidRPr="0069795C" w:rsidTr="00720CF8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81,77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88,75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1,30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1,29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15,52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7,61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92,17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49,74</w:t>
            </w:r>
          </w:p>
        </w:tc>
      </w:tr>
      <w:tr w:rsidR="00E85B11" w:rsidRPr="0069795C" w:rsidTr="0054592D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80,57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87,54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0,74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3,38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15,16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76,13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47,69</w:t>
            </w:r>
          </w:p>
        </w:tc>
      </w:tr>
      <w:tr w:rsidR="00E85B11" w:rsidRPr="0069795C" w:rsidTr="00925387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81,30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86,59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1,81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15,46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8,85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83,86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51,47</w:t>
            </w:r>
          </w:p>
        </w:tc>
      </w:tr>
      <w:tr w:rsidR="00E85B11" w:rsidRPr="0069795C" w:rsidTr="00EB3A5A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82,32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0,33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16,93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0,19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69,09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41,81</w:t>
            </w:r>
          </w:p>
        </w:tc>
      </w:tr>
      <w:tr w:rsidR="00E85B11" w:rsidRPr="0069795C" w:rsidTr="00353384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81,75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86,55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1,29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1,29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15,56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8,95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71,02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44,54</w:t>
            </w:r>
          </w:p>
        </w:tc>
      </w:tr>
      <w:tr w:rsidR="00E85B11" w:rsidRPr="0069795C" w:rsidTr="00942FFA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79,48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85,58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1,26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3,23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15,82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10,06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96,62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64,96</w:t>
            </w:r>
          </w:p>
        </w:tc>
      </w:tr>
      <w:tr w:rsidR="00E85B11" w:rsidRPr="0069795C" w:rsidTr="006333D0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80,58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81,97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0,86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2,43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15,91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13,61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79,85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75,92</w:t>
            </w:r>
          </w:p>
        </w:tc>
      </w:tr>
      <w:tr w:rsidR="00E85B11" w:rsidRPr="0069795C" w:rsidTr="00774A17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82,48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86,79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0,97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15,09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8,09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80,73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46,87</w:t>
            </w:r>
          </w:p>
        </w:tc>
      </w:tr>
      <w:tr w:rsidR="00E85B11" w:rsidRPr="0069795C" w:rsidTr="002E6B50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81,47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85,02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0,85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1,50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15,98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9,35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0,19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68,00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E85B11" w:rsidRPr="0069795C" w:rsidTr="007239F1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81,20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86,22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0,85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1,87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0,53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17,21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79,10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46,98</w:t>
            </w:r>
          </w:p>
        </w:tc>
      </w:tr>
      <w:tr w:rsidR="00E85B11" w:rsidRPr="0069795C" w:rsidTr="00223172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80,81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85,97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2,33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15,35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92,23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60,50</w:t>
            </w:r>
          </w:p>
        </w:tc>
      </w:tr>
      <w:tr w:rsidR="00E85B11" w:rsidRPr="0069795C" w:rsidTr="00FF1E6E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81,69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87,20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1,28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16,61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9,87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82,18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54,08</w:t>
            </w:r>
          </w:p>
        </w:tc>
      </w:tr>
      <w:tr w:rsidR="00E85B11" w:rsidRPr="0069795C" w:rsidTr="003904D5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80,95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83,98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0,85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1,27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16,67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10,57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26C3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26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0,25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90,86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62,5</w:t>
            </w:r>
          </w:p>
        </w:tc>
      </w:tr>
      <w:tr w:rsidR="00E85B11" w:rsidRPr="0069795C" w:rsidTr="00CD3CC9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81,80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84,11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0,86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0,54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16,61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11,19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0,20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70,36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52,72</w:t>
            </w:r>
          </w:p>
        </w:tc>
      </w:tr>
      <w:tr w:rsidR="00E85B11" w:rsidRPr="0069795C" w:rsidTr="0061413A">
        <w:trPr>
          <w:trHeight w:val="496"/>
        </w:trPr>
        <w:tc>
          <w:tcPr>
            <w:tcW w:w="1242" w:type="dxa"/>
            <w:shd w:val="clear" w:color="auto" w:fill="auto"/>
          </w:tcPr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659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79,51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83,46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0,83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2,92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16,52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11,49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5B11" w:rsidRPr="009F665B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66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0,22</w:t>
            </w:r>
          </w:p>
          <w:p w:rsidR="00E85B11" w:rsidRPr="00165904" w:rsidRDefault="00E85B11" w:rsidP="00733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904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85B11" w:rsidRPr="00E85B11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85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77,53</w:t>
            </w:r>
          </w:p>
          <w:p w:rsidR="00E85B11" w:rsidRPr="00165904" w:rsidRDefault="00E85B11" w:rsidP="00733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57,75</w:t>
            </w:r>
          </w:p>
        </w:tc>
      </w:tr>
    </w:tbl>
    <w:p w:rsidR="00D3243A" w:rsidRDefault="00116370" w:rsidP="00D3243A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324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116370">
        <w:rPr>
          <w:rFonts w:ascii="Times New Roman" w:eastAsia="Calibri" w:hAnsi="Times New Roman" w:cs="Times New Roman"/>
          <w:sz w:val="28"/>
          <w:szCs w:val="28"/>
        </w:rPr>
        <w:t>Числитель</w:t>
      </w:r>
      <w:r w:rsidRPr="00D324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r w:rsidRPr="00116370">
        <w:rPr>
          <w:rFonts w:ascii="Times New Roman" w:eastAsia="Calibri" w:hAnsi="Times New Roman" w:cs="Times New Roman"/>
          <w:sz w:val="28"/>
          <w:szCs w:val="28"/>
        </w:rPr>
        <w:t>расчет</w:t>
      </w:r>
      <w:r w:rsidRPr="00D324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116370">
        <w:rPr>
          <w:rFonts w:ascii="Times New Roman" w:eastAsia="Calibri" w:hAnsi="Times New Roman" w:cs="Times New Roman"/>
          <w:sz w:val="28"/>
          <w:szCs w:val="28"/>
        </w:rPr>
        <w:t>знаменатель</w:t>
      </w:r>
      <w:r w:rsidRPr="00D3243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r w:rsidRPr="00116370">
        <w:rPr>
          <w:rFonts w:ascii="Times New Roman" w:eastAsia="Calibri" w:hAnsi="Times New Roman" w:cs="Times New Roman"/>
          <w:sz w:val="28"/>
          <w:szCs w:val="28"/>
        </w:rPr>
        <w:t>опыт</w:t>
      </w:r>
      <w:r w:rsidR="00D324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116370" w:rsidRPr="00D3243A" w:rsidRDefault="00D3243A" w:rsidP="00D3243A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* </w:t>
      </w:r>
      <w:r w:rsidRPr="00D3243A">
        <w:rPr>
          <w:rFonts w:ascii="Times New Roman" w:eastAsia="Calibri" w:hAnsi="Times New Roman" w:cs="Times New Roman"/>
          <w:sz w:val="28"/>
          <w:szCs w:val="28"/>
          <w:lang w:val="kk-KZ"/>
        </w:rPr>
        <w:t>Numerator - calculation, denominator - experience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855"/>
      </w:tblGrid>
      <w:tr w:rsidR="007E747B" w:rsidTr="00D65230">
        <w:trPr>
          <w:trHeight w:val="3109"/>
        </w:trPr>
        <w:tc>
          <w:tcPr>
            <w:tcW w:w="4512" w:type="dxa"/>
          </w:tcPr>
          <w:p w:rsidR="007E747B" w:rsidRDefault="007E747B" w:rsidP="007E747B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6AF9E9" wp14:editId="29022D7F">
                  <wp:extent cx="2854519" cy="2170706"/>
                  <wp:effectExtent l="0" t="0" r="3175" b="127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7E747B" w:rsidRDefault="007E747B" w:rsidP="00587EF2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3983069" wp14:editId="10860CBB">
                  <wp:simplePos x="0" y="0"/>
                  <wp:positionH relativeFrom="column">
                    <wp:posOffset>-3727</wp:posOffset>
                  </wp:positionH>
                  <wp:positionV relativeFrom="paragraph">
                    <wp:posOffset>5081</wp:posOffset>
                  </wp:positionV>
                  <wp:extent cx="2918129" cy="2083242"/>
                  <wp:effectExtent l="0" t="0" r="0" b="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47B" w:rsidTr="00D65230">
        <w:tc>
          <w:tcPr>
            <w:tcW w:w="4512" w:type="dxa"/>
          </w:tcPr>
          <w:p w:rsidR="007E747B" w:rsidRDefault="007E747B" w:rsidP="00587EF2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33581B" wp14:editId="18C7E119">
                  <wp:extent cx="2854519" cy="1971923"/>
                  <wp:effectExtent l="0" t="0" r="3175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7E747B" w:rsidRDefault="007E747B" w:rsidP="00587EF2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7133507" wp14:editId="46E6292E">
                  <wp:extent cx="2862469" cy="1971923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7E747B" w:rsidTr="00D65230">
        <w:tc>
          <w:tcPr>
            <w:tcW w:w="4512" w:type="dxa"/>
          </w:tcPr>
          <w:p w:rsidR="007E747B" w:rsidRDefault="00FC6D81" w:rsidP="00587EF2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671491" wp14:editId="758CA87C">
                  <wp:extent cx="2790908" cy="1645920"/>
                  <wp:effectExtent l="0" t="0" r="9525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7E747B" w:rsidRDefault="00FC6D81" w:rsidP="00587EF2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0288486" wp14:editId="1D70DCAD">
                  <wp:extent cx="2918128" cy="1645920"/>
                  <wp:effectExtent l="0" t="0" r="0" b="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B878CE" w:rsidTr="00D65230">
        <w:tc>
          <w:tcPr>
            <w:tcW w:w="9571" w:type="dxa"/>
            <w:gridSpan w:val="2"/>
          </w:tcPr>
          <w:p w:rsidR="00B878CE" w:rsidRDefault="00B878CE" w:rsidP="00B878C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B82063" wp14:editId="1ABF2180">
                  <wp:extent cx="3029447" cy="1622066"/>
                  <wp:effectExtent l="0" t="0" r="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587EF2" w:rsidRPr="0069795C" w:rsidRDefault="001F0C9C" w:rsidP="00D3243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 w:rsidR="00587EF2" w:rsidRPr="0069795C">
        <w:rPr>
          <w:rFonts w:ascii="Times New Roman" w:eastAsia="Calibri" w:hAnsi="Times New Roman" w:cs="Times New Roman"/>
          <w:sz w:val="28"/>
          <w:szCs w:val="28"/>
        </w:rPr>
        <w:t xml:space="preserve"> - Зависимость содержания бора в металле  от температуры (а), </w:t>
      </w:r>
      <w:proofErr w:type="gramStart"/>
      <w:r w:rsidR="00587EF2" w:rsidRPr="0069795C">
        <w:rPr>
          <w:rFonts w:ascii="Times New Roman" w:eastAsia="Calibri" w:hAnsi="Times New Roman" w:cs="Times New Roman"/>
          <w:sz w:val="28"/>
          <w:szCs w:val="28"/>
        </w:rPr>
        <w:t>коли</w:t>
      </w:r>
      <w:r w:rsidRPr="001F0C9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587EF2" w:rsidRPr="0069795C">
        <w:rPr>
          <w:rFonts w:ascii="Times New Roman" w:eastAsia="Calibri" w:hAnsi="Times New Roman" w:cs="Times New Roman"/>
          <w:sz w:val="28"/>
          <w:szCs w:val="28"/>
        </w:rPr>
        <w:t>чество</w:t>
      </w:r>
      <w:proofErr w:type="spellEnd"/>
      <w:proofErr w:type="gramEnd"/>
      <w:r w:rsidR="00587EF2" w:rsidRPr="0069795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587EF2" w:rsidRPr="0069795C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587EF2" w:rsidRPr="0069795C">
        <w:rPr>
          <w:rFonts w:ascii="Times New Roman" w:eastAsia="Calibri" w:hAnsi="Times New Roman" w:cs="Times New Roman"/>
          <w:sz w:val="28"/>
          <w:szCs w:val="28"/>
        </w:rPr>
        <w:t>О</w:t>
      </w:r>
      <w:r w:rsidR="00587EF2" w:rsidRPr="0069795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="00587EF2" w:rsidRPr="0069795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87EF2" w:rsidRPr="0069795C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587EF2" w:rsidRPr="0069795C">
        <w:rPr>
          <w:rFonts w:ascii="Times New Roman" w:eastAsia="Calibri" w:hAnsi="Times New Roman" w:cs="Times New Roman"/>
          <w:sz w:val="28"/>
          <w:szCs w:val="28"/>
        </w:rPr>
        <w:t>), кокса (</w:t>
      </w:r>
      <w:r w:rsidR="00587EF2" w:rsidRPr="0069795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F0C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87EF2" w:rsidRPr="0069795C">
        <w:rPr>
          <w:rFonts w:ascii="Times New Roman" w:eastAsia="Calibri" w:hAnsi="Times New Roman" w:cs="Times New Roman"/>
          <w:sz w:val="28"/>
          <w:szCs w:val="28"/>
        </w:rPr>
        <w:t>СаО</w:t>
      </w:r>
      <w:proofErr w:type="spellEnd"/>
      <w:r w:rsidR="00587EF2" w:rsidRPr="0069795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87EF2" w:rsidRPr="0069795C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587EF2" w:rsidRPr="0069795C">
        <w:rPr>
          <w:rFonts w:ascii="Times New Roman" w:eastAsia="Calibri" w:hAnsi="Times New Roman" w:cs="Times New Roman"/>
          <w:sz w:val="28"/>
          <w:szCs w:val="28"/>
        </w:rPr>
        <w:t>)</w:t>
      </w:r>
      <w:r w:rsidRPr="001F0C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MgO</w:t>
      </w:r>
      <w:proofErr w:type="spellEnd"/>
      <w:r w:rsidRPr="001F0C9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1F0C9C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1F0C9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1F0C9C">
        <w:rPr>
          <w:rFonts w:ascii="Times New Roman" w:eastAsia="Calibri" w:hAnsi="Times New Roman" w:cs="Times New Roman"/>
          <w:sz w:val="28"/>
          <w:szCs w:val="28"/>
        </w:rPr>
        <w:t>3(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F0C9C">
        <w:rPr>
          <w:rFonts w:ascii="Times New Roman" w:eastAsia="Calibri" w:hAnsi="Times New Roman" w:cs="Times New Roman"/>
          <w:sz w:val="28"/>
          <w:szCs w:val="28"/>
        </w:rPr>
        <w:t>)</w:t>
      </w:r>
      <w:r w:rsidR="00587EF2" w:rsidRPr="0069795C">
        <w:rPr>
          <w:rFonts w:ascii="Times New Roman" w:eastAsia="Calibri" w:hAnsi="Times New Roman" w:cs="Times New Roman"/>
          <w:sz w:val="28"/>
          <w:szCs w:val="28"/>
        </w:rPr>
        <w:t xml:space="preserve"> в шихте</w:t>
      </w:r>
      <w:r w:rsidRPr="001F0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времени </w:t>
      </w:r>
      <w:r w:rsidRPr="001F0C9C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1F0C9C">
        <w:rPr>
          <w:rFonts w:ascii="Times New Roman" w:eastAsia="Calibri" w:hAnsi="Times New Roman" w:cs="Times New Roman"/>
          <w:sz w:val="28"/>
          <w:szCs w:val="28"/>
        </w:rPr>
        <w:t>)</w:t>
      </w:r>
      <w:r w:rsidR="00587EF2" w:rsidRPr="006979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0C9C" w:rsidRPr="00FF1211" w:rsidRDefault="00EB4471" w:rsidP="00D3243A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F1211">
        <w:rPr>
          <w:rFonts w:ascii="Times New Roman" w:hAnsi="Times New Roman" w:cs="Times New Roman"/>
          <w:sz w:val="28"/>
          <w:szCs w:val="28"/>
          <w:lang w:val="en-US"/>
        </w:rPr>
        <w:t>Figure -</w:t>
      </w:r>
      <w:r w:rsidR="00D3243A" w:rsidRPr="00D3243A">
        <w:rPr>
          <w:lang w:val="en-US"/>
        </w:rPr>
        <w:t xml:space="preserve"> </w:t>
      </w:r>
      <w:r w:rsidR="00D3243A" w:rsidRPr="00D3243A">
        <w:rPr>
          <w:rFonts w:ascii="Times New Roman" w:hAnsi="Times New Roman" w:cs="Times New Roman"/>
          <w:sz w:val="28"/>
          <w:szCs w:val="28"/>
          <w:lang w:val="en-US"/>
        </w:rPr>
        <w:t xml:space="preserve">Dependence of the boron content in the metal on the temperature (a), the amount of B2O3 (b), coke (c), </w:t>
      </w:r>
      <w:proofErr w:type="spellStart"/>
      <w:r w:rsidR="00D3243A" w:rsidRPr="00D3243A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="00D3243A" w:rsidRPr="00D3243A">
        <w:rPr>
          <w:rFonts w:ascii="Times New Roman" w:hAnsi="Times New Roman" w:cs="Times New Roman"/>
          <w:sz w:val="28"/>
          <w:szCs w:val="28"/>
          <w:lang w:val="en-US"/>
        </w:rPr>
        <w:t xml:space="preserve"> (d), </w:t>
      </w:r>
      <w:proofErr w:type="spellStart"/>
      <w:r w:rsidR="00D3243A" w:rsidRPr="00D3243A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 w:rsidR="00D3243A" w:rsidRPr="00D3243A">
        <w:rPr>
          <w:rFonts w:ascii="Times New Roman" w:hAnsi="Times New Roman" w:cs="Times New Roman"/>
          <w:sz w:val="28"/>
          <w:szCs w:val="28"/>
          <w:lang w:val="en-US"/>
        </w:rPr>
        <w:t xml:space="preserve"> (e), Al2O3 (f) in the charge and time (g).</w:t>
      </w:r>
    </w:p>
    <w:p w:rsidR="008A3F71" w:rsidRPr="00D3243A" w:rsidRDefault="008A3F71" w:rsidP="001F0C9C">
      <w:pPr>
        <w:pStyle w:val="3"/>
        <w:spacing w:after="0" w:line="360" w:lineRule="auto"/>
        <w:ind w:left="0"/>
        <w:jc w:val="center"/>
        <w:rPr>
          <w:lang w:val="kk-KZ"/>
        </w:rPr>
      </w:pPr>
      <w:bookmarkStart w:id="0" w:name="_GoBack"/>
      <w:bookmarkEnd w:id="0"/>
    </w:p>
    <w:sectPr w:rsidR="008A3F71" w:rsidRPr="00D3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7D4"/>
    <w:multiLevelType w:val="hybridMultilevel"/>
    <w:tmpl w:val="6B3C3CA4"/>
    <w:lvl w:ilvl="0" w:tplc="14F094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50A9D"/>
    <w:multiLevelType w:val="hybridMultilevel"/>
    <w:tmpl w:val="F69C6DDC"/>
    <w:lvl w:ilvl="0" w:tplc="BEF201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73FED"/>
    <w:multiLevelType w:val="hybridMultilevel"/>
    <w:tmpl w:val="49140C36"/>
    <w:lvl w:ilvl="0" w:tplc="5CD4BA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71"/>
    <w:rsid w:val="00010C10"/>
    <w:rsid w:val="000317A3"/>
    <w:rsid w:val="000469B8"/>
    <w:rsid w:val="00072B12"/>
    <w:rsid w:val="00116370"/>
    <w:rsid w:val="00161238"/>
    <w:rsid w:val="00165904"/>
    <w:rsid w:val="001A2059"/>
    <w:rsid w:val="001A58FF"/>
    <w:rsid w:val="001F0C9C"/>
    <w:rsid w:val="00382D66"/>
    <w:rsid w:val="003F5855"/>
    <w:rsid w:val="004461C9"/>
    <w:rsid w:val="00587EF2"/>
    <w:rsid w:val="005B21FB"/>
    <w:rsid w:val="00684FF6"/>
    <w:rsid w:val="006D0996"/>
    <w:rsid w:val="006F1533"/>
    <w:rsid w:val="007332F6"/>
    <w:rsid w:val="00743420"/>
    <w:rsid w:val="007E747B"/>
    <w:rsid w:val="008A3F71"/>
    <w:rsid w:val="008F2EA8"/>
    <w:rsid w:val="009B58E9"/>
    <w:rsid w:val="009F26C3"/>
    <w:rsid w:val="009F665B"/>
    <w:rsid w:val="009F753D"/>
    <w:rsid w:val="00A267FF"/>
    <w:rsid w:val="00AE625A"/>
    <w:rsid w:val="00B16430"/>
    <w:rsid w:val="00B34047"/>
    <w:rsid w:val="00B42E7E"/>
    <w:rsid w:val="00B45161"/>
    <w:rsid w:val="00B878CE"/>
    <w:rsid w:val="00D3243A"/>
    <w:rsid w:val="00D65230"/>
    <w:rsid w:val="00E85B11"/>
    <w:rsid w:val="00EB4471"/>
    <w:rsid w:val="00FC5FAA"/>
    <w:rsid w:val="00FC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EB44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4471"/>
    <w:rPr>
      <w:sz w:val="16"/>
      <w:szCs w:val="16"/>
    </w:rPr>
  </w:style>
  <w:style w:type="table" w:styleId="a3">
    <w:name w:val="Table Grid"/>
    <w:basedOn w:val="a1"/>
    <w:rsid w:val="00EB4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4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63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A20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EB44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4471"/>
    <w:rPr>
      <w:sz w:val="16"/>
      <w:szCs w:val="16"/>
    </w:rPr>
  </w:style>
  <w:style w:type="table" w:styleId="a3">
    <w:name w:val="Table Grid"/>
    <w:basedOn w:val="a1"/>
    <w:rsid w:val="00EB4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4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63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A20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esktop\&#1048;&#1079;&#1074;.&#1042;&#1091;&#1079;&#1086;&#1074;%20&#1058;&#1077;&#1088;&#1084;.%20&#1084;&#1086;&#1076;&#1077;&#1083;\&#1087;&#1083;&#1072;&#1085;&#1080;&#1088;&#1086;&#1074;%20&#1090;&#1077;&#1088;&#1088;&#107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ser\Desktop\&#1048;&#1079;&#1074;.&#1042;&#1091;&#1079;&#1086;&#1074;%20&#1058;&#1077;&#1088;&#1084;.%20&#1084;&#1086;&#1076;&#1077;&#1083;\&#1087;&#1083;&#1072;&#1085;&#1080;&#1088;&#1086;&#1074;%20&#1090;&#1077;&#1088;&#1088;&#1072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User\Desktop\&#1048;&#1079;&#1074;.&#1042;&#1091;&#1079;&#1086;&#1074;%20&#1058;&#1077;&#1088;&#1084;.%20&#1084;&#1086;&#1076;&#1077;&#1083;\&#1087;&#1083;&#1072;&#1085;&#1080;&#1088;&#1086;&#1074;%20&#1090;&#1077;&#1088;&#1088;&#1072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User\Desktop\&#1048;&#1079;&#1074;.&#1042;&#1091;&#1079;&#1086;&#1074;%20&#1058;&#1077;&#1088;&#1084;.%20&#1084;&#1086;&#1076;&#1077;&#1083;\&#1087;&#1083;&#1072;&#1085;&#1080;&#1088;&#1086;&#1074;%20&#1090;&#1077;&#1088;&#1088;&#1072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User\Desktop\&#1048;&#1079;&#1074;.&#1042;&#1091;&#1079;&#1086;&#1074;%20&#1058;&#1077;&#1088;&#1084;.%20&#1084;&#1086;&#1076;&#1077;&#1083;\&#1087;&#1083;&#1072;&#1085;&#1080;&#1088;&#1086;&#1074;%20&#1090;&#1077;&#1088;&#1088;&#1072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User\Desktop\&#1048;&#1079;&#1074;.&#1042;&#1091;&#1079;&#1086;&#1074;%20&#1058;&#1077;&#1088;&#1084;.%20&#1084;&#1086;&#1076;&#1077;&#1083;\&#1087;&#1083;&#1072;&#1085;&#1080;&#1088;&#1086;&#1074;%20&#1090;&#1077;&#1088;&#1088;&#1072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User\Desktop\&#1048;&#1079;&#1074;.&#1042;&#1091;&#1079;&#1086;&#1074;%20&#1058;&#1077;&#1088;&#1084;.%20&#1084;&#1086;&#1076;&#1077;&#1083;\&#1087;&#1083;&#1072;&#1085;&#1080;&#1088;&#1086;&#1074;%20&#1090;&#1077;&#1088;&#1088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113958611319326"/>
          <c:y val="0.15083672511950499"/>
          <c:w val="0.72697069862854169"/>
          <c:h val="0.61745362268202153"/>
        </c:manualLayout>
      </c:layout>
      <c:scatterChart>
        <c:scatterStyle val="smooth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32629315131551062"/>
                  <c:y val="-4.552528071512217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0,0037x + 8,6871
R² = 1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Лист5!$C$5:$K$5</c:f>
              <c:numCache>
                <c:formatCode>General</c:formatCode>
                <c:ptCount val="9"/>
                <c:pt idx="0">
                  <c:v>1823</c:v>
                </c:pt>
                <c:pt idx="2">
                  <c:v>1873</c:v>
                </c:pt>
                <c:pt idx="4">
                  <c:v>1923</c:v>
                </c:pt>
                <c:pt idx="6">
                  <c:v>1973</c:v>
                </c:pt>
                <c:pt idx="8">
                  <c:v>2023</c:v>
                </c:pt>
              </c:numCache>
            </c:numRef>
          </c:xVal>
          <c:yVal>
            <c:numRef>
              <c:f>Лист5!$C$6:$K$6</c:f>
              <c:numCache>
                <c:formatCode>General</c:formatCode>
                <c:ptCount val="9"/>
                <c:pt idx="0">
                  <c:v>15.476000000000001</c:v>
                </c:pt>
                <c:pt idx="2">
                  <c:v>15.6622</c:v>
                </c:pt>
                <c:pt idx="4">
                  <c:v>15.8484</c:v>
                </c:pt>
                <c:pt idx="6">
                  <c:v>16.034600000000001</c:v>
                </c:pt>
                <c:pt idx="8">
                  <c:v>16.220800000000001</c:v>
                </c:pt>
              </c:numCache>
            </c:numRef>
          </c:yVal>
          <c:smooth val="1"/>
        </c:ser>
        <c:ser>
          <c:idx val="1"/>
          <c:order val="1"/>
          <c:spPr>
            <a:ln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8.5714616017619788E-2"/>
                  <c:y val="0.15031284752518306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0,0148x - 19,406
R² = 1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Лист5!$C$5:$K$5</c:f>
              <c:numCache>
                <c:formatCode>General</c:formatCode>
                <c:ptCount val="9"/>
                <c:pt idx="0">
                  <c:v>1823</c:v>
                </c:pt>
                <c:pt idx="2">
                  <c:v>1873</c:v>
                </c:pt>
                <c:pt idx="4">
                  <c:v>1923</c:v>
                </c:pt>
                <c:pt idx="6">
                  <c:v>1973</c:v>
                </c:pt>
                <c:pt idx="8">
                  <c:v>2023</c:v>
                </c:pt>
              </c:numCache>
            </c:numRef>
          </c:xVal>
          <c:yVal>
            <c:numRef>
              <c:f>Лист5!$C$7:$K$7</c:f>
              <c:numCache>
                <c:formatCode>General</c:formatCode>
                <c:ptCount val="9"/>
                <c:pt idx="0">
                  <c:v>7.6180000000000003</c:v>
                </c:pt>
                <c:pt idx="2">
                  <c:v>8.3591999999999995</c:v>
                </c:pt>
                <c:pt idx="4">
                  <c:v>9.1004000000000005</c:v>
                </c:pt>
                <c:pt idx="6">
                  <c:v>9.8415999999999997</c:v>
                </c:pt>
                <c:pt idx="8">
                  <c:v>10.582800000000001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890304"/>
        <c:axId val="33898880"/>
      </c:scatterChart>
      <c:valAx>
        <c:axId val="33890304"/>
        <c:scaling>
          <c:orientation val="minMax"/>
          <c:max val="2023"/>
          <c:min val="1823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Температура,К</a:t>
                </a:r>
                <a:endParaRPr lang="ru-RU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898880"/>
        <c:crosses val="autoZero"/>
        <c:crossBetween val="midCat"/>
      </c:valAx>
      <c:valAx>
        <c:axId val="33898880"/>
        <c:scaling>
          <c:orientation val="minMax"/>
          <c:max val="18"/>
          <c:min val="6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Бор в металле , </a:t>
                </a:r>
                <a:r>
                  <a:rPr lang="en-US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%</a:t>
                </a:r>
                <a:endParaRPr lang="ru-RU" sz="1200">
                  <a:effectLst/>
                </a:endParaRPr>
              </a:p>
            </c:rich>
          </c:tx>
          <c:layout>
            <c:manualLayout>
              <c:xMode val="edge"/>
              <c:yMode val="edge"/>
              <c:x val="1.9779584278664865E-2"/>
              <c:y val="9.570957095709571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890304"/>
        <c:crosses val="autoZero"/>
        <c:crossBetween val="midCat"/>
        <c:majorUnit val="2"/>
      </c:valAx>
    </c:plotArea>
    <c:plotVisOnly val="1"/>
    <c:dispBlanksAs val="span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062200428807"/>
          <c:y val="0.1833221589875523"/>
          <c:w val="0.76297841168324643"/>
          <c:h val="0.61344340767976691"/>
        </c:manualLayout>
      </c:layout>
      <c:scatterChart>
        <c:scatterStyle val="smooth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37950035793482739"/>
                  <c:y val="-7.358914614816713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0,0383x + 13,552
R² = 1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Лист5!$Q$5:$Y$5</c:f>
              <c:numCache>
                <c:formatCode>General</c:formatCode>
                <c:ptCount val="9"/>
                <c:pt idx="0">
                  <c:v>50</c:v>
                </c:pt>
                <c:pt idx="2">
                  <c:v>55</c:v>
                </c:pt>
                <c:pt idx="4">
                  <c:v>60</c:v>
                </c:pt>
                <c:pt idx="6">
                  <c:v>65</c:v>
                </c:pt>
                <c:pt idx="8">
                  <c:v>70</c:v>
                </c:pt>
              </c:numCache>
            </c:numRef>
          </c:xVal>
          <c:yVal>
            <c:numRef>
              <c:f>Лист5!$Q$6:$Y$6</c:f>
              <c:numCache>
                <c:formatCode>General</c:formatCode>
                <c:ptCount val="9"/>
                <c:pt idx="0">
                  <c:v>15.4656</c:v>
                </c:pt>
                <c:pt idx="2">
                  <c:v>15.657</c:v>
                </c:pt>
                <c:pt idx="4">
                  <c:v>15.8484</c:v>
                </c:pt>
                <c:pt idx="6">
                  <c:v>16.0398</c:v>
                </c:pt>
                <c:pt idx="8">
                  <c:v>16.231200000000001</c:v>
                </c:pt>
              </c:numCache>
            </c:numRef>
          </c:yVal>
          <c:smooth val="1"/>
        </c:ser>
        <c:ser>
          <c:idx val="1"/>
          <c:order val="1"/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2817736981469976"/>
                  <c:y val="-4.420129778489489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0,0446x + 6,422
R² = 1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Лист5!$Q$5:$Y$5</c:f>
              <c:numCache>
                <c:formatCode>General</c:formatCode>
                <c:ptCount val="9"/>
                <c:pt idx="0">
                  <c:v>50</c:v>
                </c:pt>
                <c:pt idx="2">
                  <c:v>55</c:v>
                </c:pt>
                <c:pt idx="4">
                  <c:v>60</c:v>
                </c:pt>
                <c:pt idx="6">
                  <c:v>65</c:v>
                </c:pt>
                <c:pt idx="8">
                  <c:v>70</c:v>
                </c:pt>
              </c:numCache>
            </c:numRef>
          </c:xVal>
          <c:yVal>
            <c:numRef>
              <c:f>Лист5!$Q$7:$Y$7</c:f>
              <c:numCache>
                <c:formatCode>General</c:formatCode>
                <c:ptCount val="9"/>
                <c:pt idx="0">
                  <c:v>8.6539999999999999</c:v>
                </c:pt>
                <c:pt idx="2">
                  <c:v>8.8772000000000002</c:v>
                </c:pt>
                <c:pt idx="4">
                  <c:v>9.1004000000000005</c:v>
                </c:pt>
                <c:pt idx="6">
                  <c:v>9.3236000000000008</c:v>
                </c:pt>
                <c:pt idx="8">
                  <c:v>9.5467999999999993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916800"/>
        <c:axId val="33920128"/>
      </c:scatterChart>
      <c:valAx>
        <c:axId val="33916800"/>
        <c:scaling>
          <c:orientation val="minMax"/>
          <c:max val="70"/>
          <c:min val="50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B</a:t>
                </a:r>
                <a:r>
                  <a:rPr lang="en-US" sz="1200" b="0" baseline="-2500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O</a:t>
                </a:r>
                <a:r>
                  <a:rPr lang="en-US" sz="1200" b="0" baseline="-25000">
                    <a:latin typeface="Times New Roman" pitchFamily="18" charset="0"/>
                    <a:cs typeface="Times New Roman" pitchFamily="18" charset="0"/>
                  </a:rPr>
                  <a:t>3</a:t>
                </a:r>
                <a:r>
                  <a:rPr lang="en-US" sz="1200" b="0" baseline="0">
                    <a:latin typeface="Times New Roman" pitchFamily="18" charset="0"/>
                    <a:cs typeface="Times New Roman" pitchFamily="18" charset="0"/>
                  </a:rPr>
                  <a:t>,</a:t>
                </a:r>
                <a:r>
                  <a:rPr lang="ru-RU" sz="1200" b="0" baseline="0">
                    <a:latin typeface="Times New Roman" pitchFamily="18" charset="0"/>
                    <a:cs typeface="Times New Roman" pitchFamily="18" charset="0"/>
                  </a:rPr>
                  <a:t>гр</a:t>
                </a:r>
                <a:r>
                  <a:rPr lang="en-US" sz="1200" b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endParaRPr lang="ru-RU" sz="1200" b="0" baseline="-250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920128"/>
        <c:crosses val="autoZero"/>
        <c:crossBetween val="midCat"/>
        <c:majorUnit val="5"/>
        <c:minorUnit val="5"/>
      </c:valAx>
      <c:valAx>
        <c:axId val="33920128"/>
        <c:scaling>
          <c:orientation val="minMax"/>
          <c:max val="18"/>
          <c:min val="6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Бор в металле , </a:t>
                </a:r>
                <a:r>
                  <a:rPr lang="en-US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%</a:t>
                </a:r>
                <a:endParaRPr lang="ru-RU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7.155173938195165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916800"/>
        <c:crosses val="autoZero"/>
        <c:crossBetween val="midCat"/>
        <c:majorUnit val="2"/>
      </c:valAx>
    </c:plotArea>
    <c:plotVisOnly val="1"/>
    <c:dispBlanksAs val="span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879734137698899"/>
          <c:y val="0.15314972769939372"/>
          <c:w val="0.75705364021048727"/>
          <c:h val="0.64014606869793444"/>
        </c:manualLayout>
      </c:layout>
      <c:scatterChart>
        <c:scatterStyle val="smooth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4372403897118918"/>
                  <c:y val="-8.610275350508107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/>
                      <a:t>y = -0,0049x</a:t>
                    </a:r>
                    <a:r>
                      <a:rPr lang="en-US" sz="800" baseline="30000"/>
                      <a:t>2</a:t>
                    </a:r>
                    <a:r>
                      <a:rPr lang="en-US" sz="800" baseline="0"/>
                      <a:t> + 0,5693x - 0,8724
R² = 0,8751</a:t>
                    </a:r>
                    <a:endParaRPr lang="en-US" sz="800"/>
                  </a:p>
                </c:rich>
              </c:tx>
              <c:numFmt formatCode="General" sourceLinked="0"/>
            </c:trendlineLbl>
          </c:trendline>
          <c:xVal>
            <c:numRef>
              <c:f>Лист5!$C$24:$K$24</c:f>
              <c:numCache>
                <c:formatCode>General</c:formatCode>
                <c:ptCount val="9"/>
                <c:pt idx="0">
                  <c:v>45</c:v>
                </c:pt>
                <c:pt idx="2">
                  <c:v>50</c:v>
                </c:pt>
                <c:pt idx="4">
                  <c:v>55</c:v>
                </c:pt>
                <c:pt idx="6">
                  <c:v>60</c:v>
                </c:pt>
                <c:pt idx="8">
                  <c:v>65</c:v>
                </c:pt>
              </c:numCache>
            </c:numRef>
          </c:xVal>
          <c:yVal>
            <c:numRef>
              <c:f>Лист5!$C$25:$K$25</c:f>
              <c:numCache>
                <c:formatCode>General</c:formatCode>
                <c:ptCount val="9"/>
                <c:pt idx="0">
                  <c:v>14.816000000000001</c:v>
                </c:pt>
                <c:pt idx="2">
                  <c:v>15.648999999999999</c:v>
                </c:pt>
                <c:pt idx="4">
                  <c:v>15.677199999999999</c:v>
                </c:pt>
                <c:pt idx="6">
                  <c:v>15.675000000000001</c:v>
                </c:pt>
                <c:pt idx="8">
                  <c:v>15.672800000000001</c:v>
                </c:pt>
              </c:numCache>
            </c:numRef>
          </c:yVal>
          <c:smooth val="1"/>
        </c:ser>
        <c:ser>
          <c:idx val="1"/>
          <c:order val="1"/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24950087913235119"/>
                  <c:y val="-0.11222085638188896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0,0404x + 6,3983
R² = 0,8589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Лист5!$C$24:$K$24</c:f>
              <c:numCache>
                <c:formatCode>General</c:formatCode>
                <c:ptCount val="9"/>
                <c:pt idx="0">
                  <c:v>45</c:v>
                </c:pt>
                <c:pt idx="2">
                  <c:v>50</c:v>
                </c:pt>
                <c:pt idx="4">
                  <c:v>55</c:v>
                </c:pt>
                <c:pt idx="6">
                  <c:v>60</c:v>
                </c:pt>
                <c:pt idx="8">
                  <c:v>65</c:v>
                </c:pt>
              </c:numCache>
            </c:numRef>
          </c:xVal>
          <c:yVal>
            <c:numRef>
              <c:f>Лист5!$C$26:$K$26</c:f>
              <c:numCache>
                <c:formatCode>General</c:formatCode>
                <c:ptCount val="9"/>
                <c:pt idx="0">
                  <c:v>8.0763999999999996</c:v>
                </c:pt>
                <c:pt idx="2">
                  <c:v>8.5884</c:v>
                </c:pt>
                <c:pt idx="4">
                  <c:v>8.6</c:v>
                </c:pt>
                <c:pt idx="6">
                  <c:v>8.9123999999999999</c:v>
                </c:pt>
                <c:pt idx="8">
                  <c:v>8.9244000000000003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490176"/>
        <c:axId val="69492096"/>
      </c:scatterChart>
      <c:valAx>
        <c:axId val="69490176"/>
        <c:scaling>
          <c:orientation val="minMax"/>
          <c:max val="65"/>
          <c:min val="45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Кокс</a:t>
                </a: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 (K)</a:t>
                </a: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,</a:t>
                </a:r>
                <a:r>
                  <a:rPr lang="ru-RU" sz="1200" b="0" baseline="0">
                    <a:latin typeface="Times New Roman" pitchFamily="18" charset="0"/>
                    <a:cs typeface="Times New Roman" pitchFamily="18" charset="0"/>
                  </a:rPr>
                  <a:t> гр</a:t>
                </a:r>
                <a:endParaRPr lang="ru-RU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1639663686107031"/>
              <c:y val="0.883030949256342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492096"/>
        <c:crosses val="autoZero"/>
        <c:crossBetween val="midCat"/>
        <c:majorUnit val="5"/>
        <c:minorUnit val="5"/>
      </c:valAx>
      <c:valAx>
        <c:axId val="69492096"/>
        <c:scaling>
          <c:orientation val="minMax"/>
          <c:max val="18"/>
          <c:min val="6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Бор в металле , </a:t>
                </a:r>
                <a:r>
                  <a:rPr lang="en-US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%</a:t>
                </a:r>
                <a:endParaRPr lang="ru-RU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7093101844716612E-2"/>
              <c:y val="8.994124960386143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490176"/>
        <c:crosses val="autoZero"/>
        <c:crossBetween val="midCat"/>
        <c:majorUnit val="2"/>
      </c:valAx>
    </c:plotArea>
    <c:plotVisOnly val="1"/>
    <c:dispBlanksAs val="span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360057265569078"/>
          <c:y val="0.13791475914203638"/>
          <c:w val="0.7599843456271449"/>
          <c:h val="0.64905786603305882"/>
        </c:manualLayout>
      </c:layout>
      <c:scatterChart>
        <c:scatterStyle val="smooth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power"/>
            <c:dispRSqr val="1"/>
            <c:dispEq val="1"/>
            <c:trendlineLbl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0862440781018065"/>
                  <c:y val="-0.105654680403504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-0,0431x + 16,28
R² = 1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Лист5!$Q$24:$Y$24</c:f>
              <c:numCache>
                <c:formatCode>General</c:formatCode>
                <c:ptCount val="9"/>
                <c:pt idx="0">
                  <c:v>0</c:v>
                </c:pt>
                <c:pt idx="2">
                  <c:v>5</c:v>
                </c:pt>
                <c:pt idx="4">
                  <c:v>10</c:v>
                </c:pt>
                <c:pt idx="6">
                  <c:v>15</c:v>
                </c:pt>
                <c:pt idx="8">
                  <c:v>20</c:v>
                </c:pt>
              </c:numCache>
            </c:numRef>
          </c:xVal>
          <c:yVal>
            <c:numRef>
              <c:f>Лист5!$Q$25:$Y$25</c:f>
              <c:numCache>
                <c:formatCode>General</c:formatCode>
                <c:ptCount val="9"/>
                <c:pt idx="0">
                  <c:v>16.279599999999999</c:v>
                </c:pt>
                <c:pt idx="2">
                  <c:v>16.064</c:v>
                </c:pt>
                <c:pt idx="4">
                  <c:v>15.8484</c:v>
                </c:pt>
                <c:pt idx="6">
                  <c:v>15.6328</c:v>
                </c:pt>
                <c:pt idx="8">
                  <c:v>15.417199999999999</c:v>
                </c:pt>
              </c:numCache>
            </c:numRef>
          </c:yVal>
          <c:smooth val="1"/>
        </c:ser>
        <c:ser>
          <c:idx val="1"/>
          <c:order val="1"/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og"/>
            <c:dispRSqr val="0"/>
            <c:dispEq val="0"/>
          </c:trendline>
          <c:trendline>
            <c:trendlineType val="log"/>
            <c:dispRSqr val="0"/>
            <c:dispEq val="0"/>
          </c:trendline>
          <c:trendline>
            <c:trendlineType val="powe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3080805416582678"/>
                  <c:y val="-0.1142701240007221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-0,0272x + 9,3728
R² = 1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Лист5!$Q$24:$Y$24</c:f>
              <c:numCache>
                <c:formatCode>General</c:formatCode>
                <c:ptCount val="9"/>
                <c:pt idx="0">
                  <c:v>0</c:v>
                </c:pt>
                <c:pt idx="2">
                  <c:v>5</c:v>
                </c:pt>
                <c:pt idx="4">
                  <c:v>10</c:v>
                </c:pt>
                <c:pt idx="6">
                  <c:v>15</c:v>
                </c:pt>
                <c:pt idx="8">
                  <c:v>20</c:v>
                </c:pt>
              </c:numCache>
            </c:numRef>
          </c:xVal>
          <c:yVal>
            <c:numRef>
              <c:f>Лист5!$Q$26:$Y$26</c:f>
              <c:numCache>
                <c:formatCode>General</c:formatCode>
                <c:ptCount val="9"/>
                <c:pt idx="0">
                  <c:v>9.3727999999999998</c:v>
                </c:pt>
                <c:pt idx="2">
                  <c:v>9.2365999999999993</c:v>
                </c:pt>
                <c:pt idx="4">
                  <c:v>9.1004000000000005</c:v>
                </c:pt>
                <c:pt idx="6">
                  <c:v>8.9641999999999999</c:v>
                </c:pt>
                <c:pt idx="8">
                  <c:v>8.8279999999999994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668224"/>
        <c:axId val="109670784"/>
      </c:scatterChart>
      <c:valAx>
        <c:axId val="109668224"/>
        <c:scaling>
          <c:orientation val="minMax"/>
          <c:max val="20"/>
        </c:scaling>
        <c:delete val="0"/>
        <c:axPos val="b"/>
        <c:title>
          <c:tx>
            <c:rich>
              <a:bodyPr/>
              <a:lstStyle/>
              <a:p>
                <a:pPr>
                  <a:defRPr sz="1200" b="0"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СаО,</a:t>
                </a:r>
                <a:r>
                  <a:rPr lang="ru-RU" sz="1200" b="0" baseline="0">
                    <a:latin typeface="Times New Roman" pitchFamily="18" charset="0"/>
                    <a:cs typeface="Times New Roman" pitchFamily="18" charset="0"/>
                  </a:rPr>
                  <a:t>гр</a:t>
                </a:r>
                <a:endParaRPr lang="ru-RU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4165983764202976"/>
              <c:y val="0.8775847550306211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670784"/>
        <c:crosses val="autoZero"/>
        <c:crossBetween val="midCat"/>
        <c:majorUnit val="5"/>
      </c:valAx>
      <c:valAx>
        <c:axId val="109670784"/>
        <c:scaling>
          <c:orientation val="minMax"/>
          <c:max val="18"/>
          <c:min val="6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0"/>
                </a:pPr>
                <a:r>
                  <a:rPr lang="ru-RU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Бор в металле ,</a:t>
                </a:r>
                <a:r>
                  <a:rPr lang="en-US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%</a:t>
                </a:r>
                <a:endParaRPr lang="ru-RU" sz="12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752827216199672E-2"/>
              <c:y val="7.8992223495282898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668224"/>
        <c:crosses val="autoZero"/>
        <c:crossBetween val="midCat"/>
        <c:majorUnit val="2"/>
      </c:valAx>
    </c:plotArea>
    <c:plotVisOnly val="1"/>
    <c:dispBlanksAs val="span"/>
    <c:showDLblsOverMax val="0"/>
  </c:chart>
  <c:spPr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416502367493091"/>
          <c:y val="3.6033054590381031E-2"/>
          <c:w val="0.76588500835645001"/>
          <c:h val="0.71878131460334882"/>
        </c:manualLayout>
      </c:layout>
      <c:scatterChart>
        <c:scatterStyle val="smooth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power"/>
            <c:dispRSqr val="1"/>
            <c:dispEq val="1"/>
            <c:trendlineLbl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8.0905927389939042E-2"/>
                  <c:y val="0.137058909303003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-0,0017x + 15,681
R² = 0,5759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Лист5!$C$49:$K$49</c:f>
              <c:numCache>
                <c:formatCode>General</c:formatCode>
                <c:ptCount val="9"/>
                <c:pt idx="0">
                  <c:v>0</c:v>
                </c:pt>
                <c:pt idx="2">
                  <c:v>5</c:v>
                </c:pt>
                <c:pt idx="4">
                  <c:v>10</c:v>
                </c:pt>
                <c:pt idx="6">
                  <c:v>15</c:v>
                </c:pt>
                <c:pt idx="8">
                  <c:v>20</c:v>
                </c:pt>
              </c:numCache>
            </c:numRef>
          </c:xVal>
          <c:yVal>
            <c:numRef>
              <c:f>Лист5!$C$50:$K$50</c:f>
              <c:numCache>
                <c:formatCode>General</c:formatCode>
                <c:ptCount val="9"/>
                <c:pt idx="0">
                  <c:v>15.6776</c:v>
                </c:pt>
                <c:pt idx="2">
                  <c:v>15.673</c:v>
                </c:pt>
                <c:pt idx="4">
                  <c:v>15.6784</c:v>
                </c:pt>
                <c:pt idx="6">
                  <c:v>15.638</c:v>
                </c:pt>
                <c:pt idx="8">
                  <c:v>15.65192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515904"/>
        <c:axId val="109517824"/>
      </c:scatterChart>
      <c:valAx>
        <c:axId val="109515904"/>
        <c:scaling>
          <c:orientation val="minMax"/>
          <c:max val="20"/>
        </c:scaling>
        <c:delete val="0"/>
        <c:axPos val="b"/>
        <c:title>
          <c:tx>
            <c:rich>
              <a:bodyPr/>
              <a:lstStyle/>
              <a:p>
                <a:pPr>
                  <a:defRPr sz="1200" b="0"/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Mg</a:t>
                </a: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О,</a:t>
                </a:r>
                <a:r>
                  <a:rPr lang="ru-RU" sz="1200" b="0" baseline="0">
                    <a:latin typeface="Times New Roman" pitchFamily="18" charset="0"/>
                    <a:cs typeface="Times New Roman" pitchFamily="18" charset="0"/>
                  </a:rPr>
                  <a:t> гр</a:t>
                </a:r>
                <a:endParaRPr lang="ru-RU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4354072261755029"/>
              <c:y val="0.87375782112624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517824"/>
        <c:crosses val="autoZero"/>
        <c:crossBetween val="midCat"/>
        <c:majorUnit val="5"/>
      </c:valAx>
      <c:valAx>
        <c:axId val="109517824"/>
        <c:scaling>
          <c:orientation val="minMax"/>
          <c:max val="18"/>
          <c:min val="1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0"/>
                </a:pPr>
                <a:r>
                  <a:rPr lang="ru-RU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Бор в металле ,</a:t>
                </a:r>
                <a:r>
                  <a:rPr lang="en-US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%</a:t>
                </a:r>
                <a:endParaRPr lang="ru-RU" sz="12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1849180594481616E-2"/>
              <c:y val="6.698807184022136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515904"/>
        <c:crosses val="autoZero"/>
        <c:crossBetween val="midCat"/>
        <c:majorUnit val="2"/>
      </c:valAx>
      <c:spPr>
        <a:noFill/>
        <a:ln w="25400">
          <a:noFill/>
        </a:ln>
      </c:spPr>
    </c:plotArea>
    <c:plotVisOnly val="1"/>
    <c:dispBlanksAs val="span"/>
    <c:showDLblsOverMax val="0"/>
  </c:chart>
  <c:spPr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535241576371941"/>
          <c:y val="8.1791809516633382E-2"/>
          <c:w val="0.69100118827939216"/>
          <c:h val="0.68065928958122401"/>
        </c:manualLayout>
      </c:layout>
      <c:scatterChart>
        <c:scatterStyle val="smooth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power"/>
            <c:dispRSqr val="1"/>
            <c:dispEq val="1"/>
            <c:trendlineLbl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1.5525016200448986E-2"/>
                  <c:y val="0.1841061533974919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/>
                      <a:t>y = -0,0001x + 15,804
R² = 0,0753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Лист5!$Q$49:$Y$49</c:f>
              <c:numCache>
                <c:formatCode>General</c:formatCode>
                <c:ptCount val="9"/>
                <c:pt idx="0">
                  <c:v>0</c:v>
                </c:pt>
                <c:pt idx="2">
                  <c:v>5</c:v>
                </c:pt>
                <c:pt idx="4">
                  <c:v>10</c:v>
                </c:pt>
                <c:pt idx="6">
                  <c:v>15</c:v>
                </c:pt>
                <c:pt idx="8">
                  <c:v>20</c:v>
                </c:pt>
              </c:numCache>
            </c:numRef>
          </c:xVal>
          <c:yVal>
            <c:numRef>
              <c:f>Лист5!$Q$50:$Y$50</c:f>
              <c:numCache>
                <c:formatCode>General</c:formatCode>
                <c:ptCount val="9"/>
                <c:pt idx="0">
                  <c:v>15.802</c:v>
                </c:pt>
                <c:pt idx="2">
                  <c:v>15.802</c:v>
                </c:pt>
                <c:pt idx="4">
                  <c:v>15.808400000000001</c:v>
                </c:pt>
                <c:pt idx="6">
                  <c:v>15.8</c:v>
                </c:pt>
                <c:pt idx="8">
                  <c:v>15.8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622016"/>
        <c:axId val="109623936"/>
      </c:scatterChart>
      <c:valAx>
        <c:axId val="109622016"/>
        <c:scaling>
          <c:orientation val="minMax"/>
          <c:max val="20"/>
        </c:scaling>
        <c:delete val="0"/>
        <c:axPos val="b"/>
        <c:title>
          <c:tx>
            <c:rich>
              <a:bodyPr/>
              <a:lstStyle/>
              <a:p>
                <a:pPr>
                  <a:defRPr sz="1200" b="0"/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Al</a:t>
                </a:r>
                <a:r>
                  <a:rPr lang="en-US" sz="1200" b="0" baseline="-2500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О</a:t>
                </a:r>
                <a:r>
                  <a:rPr lang="en-US" sz="1200" b="0" baseline="-25000">
                    <a:latin typeface="Times New Roman" pitchFamily="18" charset="0"/>
                    <a:cs typeface="Times New Roman" pitchFamily="18" charset="0"/>
                  </a:rPr>
                  <a:t>3</a:t>
                </a: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,</a:t>
                </a:r>
                <a:r>
                  <a:rPr lang="ru-RU" sz="1200" b="0" baseline="0">
                    <a:latin typeface="Times New Roman" pitchFamily="18" charset="0"/>
                    <a:cs typeface="Times New Roman" pitchFamily="18" charset="0"/>
                  </a:rPr>
                  <a:t> гр</a:t>
                </a:r>
                <a:endParaRPr lang="ru-RU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623936"/>
        <c:crosses val="autoZero"/>
        <c:crossBetween val="midCat"/>
        <c:majorUnit val="5"/>
      </c:valAx>
      <c:valAx>
        <c:axId val="109623936"/>
        <c:scaling>
          <c:orientation val="minMax"/>
          <c:max val="18"/>
          <c:min val="1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0"/>
                </a:pPr>
                <a:r>
                  <a:rPr lang="ru-RU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Бор в металле ,</a:t>
                </a:r>
                <a:r>
                  <a:rPr lang="en-US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%</a:t>
                </a:r>
                <a:endParaRPr lang="ru-RU" sz="12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3.219597881693982E-3"/>
              <c:y val="9.470865155322544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622016"/>
        <c:crosses val="autoZero"/>
        <c:crossBetween val="midCat"/>
        <c:majorUnit val="2"/>
      </c:valAx>
    </c:plotArea>
    <c:plotVisOnly val="1"/>
    <c:dispBlanksAs val="span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588296477872035"/>
          <c:y val="0.10981631407272212"/>
          <c:w val="0.72143031940103397"/>
          <c:h val="0.68886415627177378"/>
        </c:manualLayout>
      </c:layout>
      <c:scatterChart>
        <c:scatterStyle val="smoothMarker"/>
        <c:varyColors val="0"/>
        <c:ser>
          <c:idx val="0"/>
          <c:order val="0"/>
          <c:spPr>
            <a:ln w="19050">
              <a:noFill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20978053090217455"/>
                  <c:y val="-9.827713545564729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00" baseline="0">
                        <a:latin typeface="Times New Roman" pitchFamily="18" charset="0"/>
                        <a:cs typeface="Times New Roman" pitchFamily="18" charset="0"/>
                      </a:rPr>
                      <a:t>y = 0,0748x + 7,6052
R² = 1</a:t>
                    </a:r>
                    <a:endParaRPr lang="en-US" sz="8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Лист5!$Q$68:$Y$68</c:f>
              <c:numCache>
                <c:formatCode>General</c:formatCode>
                <c:ptCount val="9"/>
                <c:pt idx="0">
                  <c:v>10</c:v>
                </c:pt>
                <c:pt idx="2">
                  <c:v>15</c:v>
                </c:pt>
                <c:pt idx="4">
                  <c:v>20</c:v>
                </c:pt>
                <c:pt idx="6">
                  <c:v>25</c:v>
                </c:pt>
                <c:pt idx="8">
                  <c:v>30</c:v>
                </c:pt>
              </c:numCache>
            </c:numRef>
          </c:xVal>
          <c:yVal>
            <c:numRef>
              <c:f>Лист5!$Q$69:$Y$69</c:f>
              <c:numCache>
                <c:formatCode>General</c:formatCode>
                <c:ptCount val="9"/>
                <c:pt idx="0">
                  <c:v>8.3528000000000002</c:v>
                </c:pt>
                <c:pt idx="2">
                  <c:v>8.7265999999999995</c:v>
                </c:pt>
                <c:pt idx="4">
                  <c:v>9.1004000000000005</c:v>
                </c:pt>
                <c:pt idx="6">
                  <c:v>9.4741999999999997</c:v>
                </c:pt>
                <c:pt idx="8">
                  <c:v>9.8480000000000008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686784"/>
        <c:axId val="109688704"/>
      </c:scatterChart>
      <c:valAx>
        <c:axId val="109686784"/>
        <c:scaling>
          <c:orientation val="minMax"/>
          <c:max val="30"/>
          <c:min val="10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Время, мин</a:t>
                </a:r>
                <a:endParaRPr lang="ru-RU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9005485321613964"/>
              <c:y val="0.871250421300977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688704"/>
        <c:crosses val="autoZero"/>
        <c:crossBetween val="midCat"/>
        <c:majorUnit val="5"/>
      </c:valAx>
      <c:valAx>
        <c:axId val="109688704"/>
        <c:scaling>
          <c:orientation val="minMax"/>
          <c:max val="18"/>
          <c:min val="4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 b="0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Бор в металле, </a:t>
                </a:r>
                <a:r>
                  <a:rPr lang="en-US" sz="1200" b="0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%</a:t>
                </a:r>
                <a:endParaRPr lang="ru-RU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4.4052594417396958E-2"/>
              <c:y val="7.540707267499344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686784"/>
        <c:crosses val="autoZero"/>
        <c:crossBetween val="midCat"/>
        <c:majorUnit val="2"/>
      </c:valAx>
    </c:plotArea>
    <c:plotVisOnly val="1"/>
    <c:dispBlanksAs val="span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0.79779</cdr:x>
      <cdr:y>0.41454</cdr:y>
    </cdr:from>
    <cdr:to>
      <cdr:x>0.97778</cdr:x>
      <cdr:y>0.49224</cdr:y>
    </cdr:to>
    <cdr:sp macro="" textlink="">
      <cdr:nvSpPr>
        <cdr:cNvPr id="3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77158" y="1008438"/>
          <a:ext cx="513750" cy="18902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опыт</a:t>
          </a:r>
        </a:p>
      </cdr:txBody>
    </cdr:sp>
  </cdr:relSizeAnchor>
  <cdr:relSizeAnchor xmlns:cdr="http://schemas.openxmlformats.org/drawingml/2006/chartDrawing">
    <cdr:from>
      <cdr:x>0.79664</cdr:x>
      <cdr:y>0.09277</cdr:y>
    </cdr:from>
    <cdr:to>
      <cdr:x>1</cdr:x>
      <cdr:y>0.18551</cdr:y>
    </cdr:to>
    <cdr:sp macro="" textlink="">
      <cdr:nvSpPr>
        <cdr:cNvPr id="4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74073" y="182908"/>
          <a:ext cx="580446" cy="18285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расчет</a:t>
          </a:r>
        </a:p>
      </cdr:txBody>
    </cdr:sp>
  </cdr:relSizeAnchor>
  <cdr:relSizeAnchor xmlns:cdr="http://schemas.openxmlformats.org/drawingml/2006/chartDrawing">
    <cdr:from>
      <cdr:x>0.55429</cdr:x>
      <cdr:y>0.00366</cdr:y>
    </cdr:from>
    <cdr:to>
      <cdr:x>0.65185</cdr:x>
      <cdr:y>0.14053</cdr:y>
    </cdr:to>
    <cdr:sp macro="" textlink="">
      <cdr:nvSpPr>
        <cdr:cNvPr id="5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82135" y="7951"/>
          <a:ext cx="278468" cy="29706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 sz="1050">
              <a:latin typeface="Times New Roman" pitchFamily="18" charset="0"/>
              <a:cs typeface="Times New Roman" pitchFamily="18" charset="0"/>
            </a:rPr>
            <a:t>a</a:t>
          </a:r>
          <a:endParaRPr lang="ru-RU" sz="105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0.79672</cdr:x>
      <cdr:y>0.12147</cdr:y>
    </cdr:from>
    <cdr:to>
      <cdr:x>0.99565</cdr:x>
      <cdr:y>0.2165</cdr:y>
    </cdr:to>
    <cdr:sp macro="" textlink="">
      <cdr:nvSpPr>
        <cdr:cNvPr id="3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4679" y="233708"/>
          <a:ext cx="580446" cy="18285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расчет</a:t>
          </a:r>
        </a:p>
      </cdr:txBody>
    </cdr:sp>
  </cdr:relSizeAnchor>
  <cdr:relSizeAnchor xmlns:cdr="http://schemas.openxmlformats.org/drawingml/2006/chartDrawing">
    <cdr:from>
      <cdr:x>0.82287</cdr:x>
      <cdr:y>0.51354</cdr:y>
    </cdr:from>
    <cdr:to>
      <cdr:x>0.98103</cdr:x>
      <cdr:y>0.60468</cdr:y>
    </cdr:to>
    <cdr:sp macro="" textlink="">
      <cdr:nvSpPr>
        <cdr:cNvPr id="4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00986" y="1220913"/>
          <a:ext cx="461483" cy="21668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опыт</a:t>
          </a:r>
        </a:p>
      </cdr:txBody>
    </cdr:sp>
  </cdr:relSizeAnchor>
  <cdr:relSizeAnchor xmlns:cdr="http://schemas.openxmlformats.org/drawingml/2006/chartDrawing">
    <cdr:from>
      <cdr:x>0.55692</cdr:x>
      <cdr:y>0.05269</cdr:y>
    </cdr:from>
    <cdr:to>
      <cdr:x>0.65235</cdr:x>
      <cdr:y>0.19295</cdr:y>
    </cdr:to>
    <cdr:sp macro="" textlink="">
      <cdr:nvSpPr>
        <cdr:cNvPr id="7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25001" y="109747"/>
          <a:ext cx="278448" cy="292134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 sz="1100">
              <a:latin typeface="Times New Roman" pitchFamily="18" charset="0"/>
              <a:cs typeface="Times New Roman" pitchFamily="18" charset="0"/>
            </a:rPr>
            <a:t>b</a:t>
          </a:r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0.78556</cdr:x>
      <cdr:y>0.10476</cdr:y>
    </cdr:from>
    <cdr:to>
      <cdr:x>0.98892</cdr:x>
      <cdr:y>0.20745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42241" y="259847"/>
          <a:ext cx="580455" cy="2547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расчет</a:t>
          </a:r>
        </a:p>
      </cdr:txBody>
    </cdr:sp>
  </cdr:relSizeAnchor>
  <cdr:relSizeAnchor xmlns:cdr="http://schemas.openxmlformats.org/drawingml/2006/chartDrawing">
    <cdr:from>
      <cdr:x>0.78556</cdr:x>
      <cdr:y>0.51879</cdr:y>
    </cdr:from>
    <cdr:to>
      <cdr:x>0.98892</cdr:x>
      <cdr:y>0.62149</cdr:y>
    </cdr:to>
    <cdr:sp macro="" textlink="">
      <cdr:nvSpPr>
        <cdr:cNvPr id="3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42241" y="1022879"/>
          <a:ext cx="580456" cy="20249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опыт</a:t>
          </a:r>
        </a:p>
      </cdr:txBody>
    </cdr:sp>
  </cdr:relSizeAnchor>
  <cdr:relSizeAnchor xmlns:cdr="http://schemas.openxmlformats.org/drawingml/2006/chartDrawing">
    <cdr:from>
      <cdr:x>0.42621</cdr:x>
      <cdr:y>0</cdr:y>
    </cdr:from>
    <cdr:to>
      <cdr:x>0.52377</cdr:x>
      <cdr:y>0.10718</cdr:y>
    </cdr:to>
    <cdr:sp macro="" textlink="">
      <cdr:nvSpPr>
        <cdr:cNvPr id="6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550" y="0"/>
          <a:ext cx="278460" cy="19083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>
            <a:lnSpc>
              <a:spcPts val="1320"/>
            </a:lnSpc>
          </a:pPr>
          <a:r>
            <a:rPr lang="en-US">
              <a:latin typeface="Times New Roman" pitchFamily="18" charset="0"/>
              <a:cs typeface="Times New Roman" pitchFamily="18" charset="0"/>
            </a:rPr>
            <a:t>c</a:t>
          </a:r>
          <a:endParaRPr lang="ru-RU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0.79718</cdr:x>
      <cdr:y>0.10674</cdr:y>
    </cdr:from>
    <cdr:to>
      <cdr:x>1</cdr:x>
      <cdr:y>0.20673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82009" y="284257"/>
          <a:ext cx="580460" cy="26629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расчет</a:t>
          </a:r>
        </a:p>
      </cdr:txBody>
    </cdr:sp>
  </cdr:relSizeAnchor>
  <cdr:relSizeAnchor xmlns:cdr="http://schemas.openxmlformats.org/drawingml/2006/chartDrawing">
    <cdr:from>
      <cdr:x>0.79718</cdr:x>
      <cdr:y>0.5218</cdr:y>
    </cdr:from>
    <cdr:to>
      <cdr:x>1</cdr:x>
      <cdr:y>0.62178</cdr:y>
    </cdr:to>
    <cdr:sp macro="" textlink="">
      <cdr:nvSpPr>
        <cdr:cNvPr id="3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82009" y="1389659"/>
          <a:ext cx="580460" cy="26626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опыт</a:t>
          </a:r>
        </a:p>
      </cdr:txBody>
    </cdr:sp>
  </cdr:relSizeAnchor>
  <cdr:relSizeAnchor xmlns:cdr="http://schemas.openxmlformats.org/drawingml/2006/chartDrawing">
    <cdr:from>
      <cdr:x>0.42502</cdr:x>
      <cdr:y>0</cdr:y>
    </cdr:from>
    <cdr:to>
      <cdr:x>0.52232</cdr:x>
      <cdr:y>0.11304</cdr:y>
    </cdr:to>
    <cdr:sp macro="" textlink="">
      <cdr:nvSpPr>
        <cdr:cNvPr id="6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385" y="0"/>
          <a:ext cx="278460" cy="20673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/>
            <a:t>d</a:t>
          </a: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0.79202</cdr:x>
      <cdr:y>0.12267</cdr:y>
    </cdr:from>
    <cdr:to>
      <cdr:x>1</cdr:x>
      <cdr:y>0.23376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10462" y="201903"/>
          <a:ext cx="580446" cy="18285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расчет</a:t>
          </a:r>
        </a:p>
      </cdr:txBody>
    </cdr:sp>
  </cdr:relSizeAnchor>
  <cdr:relSizeAnchor xmlns:cdr="http://schemas.openxmlformats.org/drawingml/2006/chartDrawing">
    <cdr:from>
      <cdr:x>0.42161</cdr:x>
      <cdr:y>0</cdr:y>
    </cdr:from>
    <cdr:to>
      <cdr:x>0.52138</cdr:x>
      <cdr:y>0.16397</cdr:y>
    </cdr:to>
    <cdr:sp macro="" textlink="">
      <cdr:nvSpPr>
        <cdr:cNvPr id="4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76629" y="0"/>
          <a:ext cx="27846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>
              <a:latin typeface="Times New Roman" pitchFamily="18" charset="0"/>
              <a:cs typeface="Times New Roman" pitchFamily="18" charset="0"/>
            </a:rPr>
            <a:t>e</a:t>
          </a:r>
          <a:endParaRPr lang="ru-RU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0.69589</cdr:x>
      <cdr:y>0.12267</cdr:y>
    </cdr:from>
    <cdr:to>
      <cdr:x>0.89482</cdr:x>
      <cdr:y>0.23376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30481" y="201903"/>
          <a:ext cx="580446" cy="18285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расчет</a:t>
          </a:r>
        </a:p>
      </cdr:txBody>
    </cdr:sp>
  </cdr:relSizeAnchor>
  <cdr:relSizeAnchor xmlns:cdr="http://schemas.openxmlformats.org/drawingml/2006/chartDrawing">
    <cdr:from>
      <cdr:x>0.37161</cdr:x>
      <cdr:y>0.05156</cdr:y>
    </cdr:from>
    <cdr:to>
      <cdr:x>0.46705</cdr:x>
      <cdr:y>0.21553</cdr:y>
    </cdr:to>
    <cdr:sp macro="" textlink="">
      <cdr:nvSpPr>
        <cdr:cNvPr id="3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84306" y="84870"/>
          <a:ext cx="27846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>
              <a:latin typeface="Times New Roman" pitchFamily="18" charset="0"/>
              <a:cs typeface="Times New Roman" pitchFamily="18" charset="0"/>
            </a:rPr>
            <a:t>f</a:t>
          </a:r>
          <a:endParaRPr lang="ru-RU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0.78849</cdr:x>
      <cdr:y>0.31648</cdr:y>
    </cdr:from>
    <cdr:to>
      <cdr:x>0.98012</cdr:x>
      <cdr:y>0.43503</cdr:y>
    </cdr:to>
    <cdr:sp macro="" textlink="">
      <cdr:nvSpPr>
        <cdr:cNvPr id="2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88289" y="488151"/>
          <a:ext cx="580446" cy="182851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опыт</a:t>
          </a:r>
        </a:p>
      </cdr:txBody>
    </cdr:sp>
  </cdr:relSizeAnchor>
  <cdr:relSizeAnchor xmlns:cdr="http://schemas.openxmlformats.org/drawingml/2006/chartDrawing">
    <cdr:from>
      <cdr:x>0.46824</cdr:x>
      <cdr:y>0.07049</cdr:y>
    </cdr:from>
    <cdr:to>
      <cdr:x>0.56017</cdr:x>
      <cdr:y>0.24546</cdr:y>
    </cdr:to>
    <cdr:sp macro="" textlink="">
      <cdr:nvSpPr>
        <cdr:cNvPr id="4" name="Надпись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18261" y="108723"/>
          <a:ext cx="27846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>
              <a:latin typeface="Times New Roman" pitchFamily="18" charset="0"/>
              <a:cs typeface="Times New Roman" pitchFamily="18" charset="0"/>
            </a:rPr>
            <a:t>g</a:t>
          </a:r>
          <a:endParaRPr lang="ru-RU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2018-05-21T09:14:00Z</cp:lastPrinted>
  <dcterms:created xsi:type="dcterms:W3CDTF">2018-05-11T05:51:00Z</dcterms:created>
  <dcterms:modified xsi:type="dcterms:W3CDTF">2018-05-22T08:45:00Z</dcterms:modified>
</cp:coreProperties>
</file>